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8FB" w:rsidRDefault="009F77D3">
      <w:pPr>
        <w:tabs>
          <w:tab w:val="center" w:pos="468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CITY OF BILOXI</w:t>
      </w: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PRIVATE </w:instrText>
      </w:r>
      <w:r>
        <w:rPr>
          <w:rFonts w:ascii="Times New Roman" w:hAnsi="Times New Roman"/>
          <w:b/>
        </w:rPr>
        <w:fldChar w:fldCharType="end"/>
      </w:r>
    </w:p>
    <w:p w:rsidR="006138FB" w:rsidRDefault="006138FB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6138FB" w:rsidRDefault="009F77D3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SPECIAL PROVISION NO. 907-708-1                                                                   CODE</w:t>
      </w:r>
      <w:proofErr w:type="gramStart"/>
      <w:r>
        <w:rPr>
          <w:rFonts w:ascii="Times New Roman" w:hAnsi="Times New Roman"/>
          <w:b/>
        </w:rPr>
        <w:t>:  (</w:t>
      </w:r>
      <w:proofErr w:type="gramEnd"/>
      <w:r>
        <w:rPr>
          <w:rFonts w:ascii="Times New Roman" w:hAnsi="Times New Roman"/>
          <w:b/>
        </w:rPr>
        <w:t>SP)</w:t>
      </w:r>
    </w:p>
    <w:p w:rsidR="006138FB" w:rsidRDefault="006138FB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6138FB" w:rsidRDefault="009F77D3">
      <w:pPr>
        <w:pStyle w:val="Heading1"/>
      </w:pPr>
      <w:r>
        <w:t xml:space="preserve">DATE:  </w:t>
      </w:r>
      <w:r w:rsidR="00DF4432">
        <w:t>07</w:t>
      </w:r>
      <w:r>
        <w:t>/</w:t>
      </w:r>
      <w:r w:rsidR="00DF4432">
        <w:t>05</w:t>
      </w:r>
      <w:r>
        <w:t>/</w:t>
      </w:r>
      <w:r w:rsidR="00DF4432">
        <w:t>2017</w:t>
      </w:r>
    </w:p>
    <w:p w:rsidR="006138FB" w:rsidRDefault="006138FB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6138FB" w:rsidRDefault="009F77D3" w:rsidP="00DF4432">
      <w:pPr>
        <w:tabs>
          <w:tab w:val="left" w:pos="-720"/>
        </w:tabs>
        <w:suppressAutoHyphens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SECTION 708 - NON-METAL STRUCTURES AND CATTLEPASSES</w:t>
      </w:r>
    </w:p>
    <w:p w:rsidR="006138FB" w:rsidRDefault="006138FB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6138FB" w:rsidRDefault="009F77D3">
      <w:pPr>
        <w:pStyle w:val="Heading1"/>
      </w:pPr>
      <w:r>
        <w:t>Subsection 708.02.3.7 - Lift Holes</w:t>
      </w:r>
    </w:p>
    <w:p w:rsidR="006138FB" w:rsidRDefault="006138FB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6138FB" w:rsidRDefault="009F77D3">
      <w:pPr>
        <w:tabs>
          <w:tab w:val="left" w:pos="-720"/>
          <w:tab w:val="left" w:pos="0"/>
        </w:tabs>
        <w:suppressAutoHyphens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Delete Subsection 708.02.3.7 in its entirety and insert the following:</w:t>
      </w:r>
    </w:p>
    <w:p w:rsidR="006138FB" w:rsidRDefault="006138FB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</w:rPr>
      </w:pPr>
    </w:p>
    <w:p w:rsidR="006138FB" w:rsidRDefault="009F77D3">
      <w:pPr>
        <w:tabs>
          <w:tab w:val="left" w:pos="-720"/>
          <w:tab w:val="left" w:pos="0"/>
          <w:tab w:val="left" w:pos="720"/>
        </w:tabs>
        <w:suppressAutoHyphens/>
        <w:ind w:left="1440"/>
        <w:jc w:val="both"/>
        <w:rPr>
          <w:rFonts w:ascii="Times New Roman" w:hAnsi="Times New Roman"/>
        </w:rPr>
      </w:pPr>
      <w:r w:rsidRPr="00DF4432">
        <w:rPr>
          <w:rFonts w:ascii="Times New Roman" w:hAnsi="Times New Roman"/>
          <w:b/>
        </w:rPr>
        <w:t>Subsection 708.02.3.7 - Lift Holes</w:t>
      </w:r>
      <w:r>
        <w:rPr>
          <w:rFonts w:ascii="Times New Roman" w:hAnsi="Times New Roman"/>
        </w:rPr>
        <w:t>.  Lift holes in concrete pipe will not be permitted.</w:t>
      </w:r>
      <w:bookmarkStart w:id="0" w:name="_GoBack"/>
      <w:bookmarkEnd w:id="0"/>
    </w:p>
    <w:sectPr w:rsidR="006138FB">
      <w:headerReference w:type="default" r:id="rId6"/>
      <w:footerReference w:type="default" r:id="rId7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8FB" w:rsidRDefault="006138FB">
      <w:pPr>
        <w:spacing w:line="20" w:lineRule="exact"/>
      </w:pPr>
    </w:p>
  </w:endnote>
  <w:endnote w:type="continuationSeparator" w:id="0">
    <w:p w:rsidR="006138FB" w:rsidRDefault="009F77D3">
      <w:r>
        <w:t xml:space="preserve"> </w:t>
      </w:r>
    </w:p>
  </w:endnote>
  <w:endnote w:type="continuationNotice" w:id="1">
    <w:p w:rsidR="006138FB" w:rsidRDefault="009F77D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8FB" w:rsidRDefault="009F77D3">
    <w:pPr>
      <w:pStyle w:val="Foot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:rsidR="006138FB" w:rsidRDefault="009F77D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Non-metal Structures &amp; </w:t>
    </w:r>
    <w:proofErr w:type="spellStart"/>
    <w:r>
      <w:rPr>
        <w:rFonts w:ascii="Times New Roman" w:hAnsi="Times New Roman"/>
      </w:rPr>
      <w:t>Cattlepasses</w:t>
    </w:r>
    <w:proofErr w:type="spellEnd"/>
  </w:p>
  <w:p w:rsidR="006138FB" w:rsidRDefault="009F77D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907-708-1</w:t>
    </w:r>
  </w:p>
  <w:p w:rsidR="006138FB" w:rsidRDefault="009F77D3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DF4432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DF4432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8FB" w:rsidRDefault="009F77D3">
      <w:r>
        <w:separator/>
      </w:r>
    </w:p>
  </w:footnote>
  <w:footnote w:type="continuationSeparator" w:id="0">
    <w:p w:rsidR="006138FB" w:rsidRDefault="009F77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8FB" w:rsidRDefault="009F77D3">
    <w:pPr>
      <w:pStyle w:val="Head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:rsidR="006138FB" w:rsidRDefault="006138FB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77D3"/>
    <w:rsid w:val="00553854"/>
    <w:rsid w:val="006138FB"/>
    <w:rsid w:val="009F77D3"/>
    <w:rsid w:val="00D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4258D5E"/>
  <w15:docId w15:val="{F34D125D-2654-4C2B-B255-57A08871F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_CITY OF BILOXI</vt:lpstr>
    </vt:vector>
  </TitlesOfParts>
  <Company>Engineering</Company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_CITY OF BILOXI</dc:title>
  <dc:creator>City of Biloxi</dc:creator>
  <cp:lastModifiedBy>Doug Wimberly</cp:lastModifiedBy>
  <cp:revision>3</cp:revision>
  <cp:lastPrinted>2001-03-30T13:30:00Z</cp:lastPrinted>
  <dcterms:created xsi:type="dcterms:W3CDTF">2017-07-05T16:52:00Z</dcterms:created>
  <dcterms:modified xsi:type="dcterms:W3CDTF">2017-07-05T16:53:00Z</dcterms:modified>
</cp:coreProperties>
</file>